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4" w:space="4" w:color="2F80ED"/>
        </w:pBdr>
      </w:pPr>
      <w:r>
        <w:t>Техническое задание на инженерные изыскания</w:t>
      </w:r>
    </w:p>
    <w:p>
      <w:pPr>
        <w:pStyle w:val="Heading1"/>
      </w:pPr>
      <w:r>
        <w:rPr>
          <w:rFonts w:ascii="Arial" w:hAnsi="Arial" w:eastAsia="Arial"/>
          <w:b/>
          <w:i w:val="0"/>
        </w:rPr>
        <w:t>ТЕХНИЧЕСКОЕ ЗАДАНИЕ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На инженерно-геодезические и инженерно-геологические изыскания для подготовки проектной документации</w:t>
      </w:r>
    </w:p>
    <w:p>
      <w:r>
        <w:rPr>
          <w:rFonts w:ascii="Arial" w:hAnsi="Arial" w:eastAsia="Arial"/>
          <w:b/>
          <w:i w:val="0"/>
        </w:rPr>
        <w:t>Объект:</w:t>
      </w:r>
      <w:r>
        <w:rPr>
          <w:rFonts w:ascii="Arial" w:hAnsi="Arial" w:eastAsia="Arial"/>
          <w:b w:val="0"/>
          <w:i w:val="0"/>
        </w:rPr>
        <w:t xml:space="preserve"> одноэтажный склад размером 36 × 72 м с металлическим каркасом и парковкой на 40 машиномест.</w:t>
      </w:r>
    </w:p>
    <w:p>
      <w:r>
        <w:rPr>
          <w:rFonts w:ascii="Arial" w:hAnsi="Arial" w:eastAsia="Arial"/>
          <w:b/>
          <w:i w:val="0"/>
        </w:rPr>
        <w:t>Местоположение:</w:t>
      </w:r>
      <w:r>
        <w:rPr>
          <w:rFonts w:ascii="Arial" w:hAnsi="Arial" w:eastAsia="Arial"/>
          <w:b w:val="0"/>
          <w:i w:val="0"/>
        </w:rPr>
        <w:t xml:space="preserve"> Ленинградская область; муниципальное образование, адрес и кадастровый номер — [не представлены].</w:t>
      </w:r>
    </w:p>
    <w:p>
      <w:r>
        <w:rPr>
          <w:rFonts w:ascii="Arial" w:hAnsi="Arial" w:eastAsia="Arial"/>
          <w:b/>
          <w:i w:val="0"/>
        </w:rPr>
        <w:t>Статус:</w:t>
      </w:r>
      <w:r>
        <w:rPr>
          <w:rFonts w:ascii="Arial" w:hAnsi="Arial" w:eastAsia="Arial"/>
          <w:b w:val="0"/>
          <w:i w:val="0"/>
        </w:rPr>
        <w:t xml:space="preserve"> проект для согласования заказчиком и проектировщиком. Не является утверждённой программой изысканий. Дата подготовки: 09.10.2026.</w:t>
      </w:r>
    </w:p>
    <w:p>
      <w:r>
        <w:rPr>
          <w:rFonts w:ascii="Arial" w:hAnsi="Arial" w:eastAsia="Arial"/>
          <w:b/>
          <w:i w:val="0"/>
        </w:rPr>
        <w:t>УТВЕРЖДАЮ:</w:t>
      </w:r>
      <w:r>
        <w:rPr>
          <w:rFonts w:ascii="Arial" w:hAnsi="Arial" w:eastAsia="Arial"/>
          <w:b w:val="0"/>
          <w:i w:val="0"/>
        </w:rPr>
        <w:t xml:space="preserve"> [заказчик, должность, Ф.И.О., подпись, дата].</w:t>
      </w:r>
    </w:p>
    <w:p>
      <w:r>
        <w:rPr>
          <w:rFonts w:ascii="Arial" w:hAnsi="Arial" w:eastAsia="Arial"/>
          <w:b/>
          <w:i w:val="0"/>
        </w:rPr>
        <w:t>СОГЛАСОВАНО:</w:t>
      </w:r>
      <w:r>
        <w:rPr>
          <w:rFonts w:ascii="Arial" w:hAnsi="Arial" w:eastAsia="Arial"/>
          <w:b w:val="0"/>
          <w:i w:val="0"/>
        </w:rPr>
        <w:t xml:space="preserve"> [проектировщик / ГИП, должность, Ф.И.О., подпись, дата].</w:t>
      </w:r>
    </w:p>
    <w:p>
      <w:r>
        <w:rPr>
          <w:rFonts w:ascii="Arial" w:hAnsi="Arial" w:eastAsia="Arial"/>
          <w:b/>
          <w:i w:val="0"/>
        </w:rPr>
        <w:t>Исполнитель изысканий:</w:t>
      </w:r>
      <w:r>
        <w:rPr>
          <w:rFonts w:ascii="Arial" w:hAnsi="Arial" w:eastAsia="Arial"/>
          <w:b w:val="0"/>
          <w:i w:val="0"/>
        </w:rPr>
        <w:t xml:space="preserve"> [не определён].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1. Исходные данные и границы применимости</w:t>
      </w:r>
    </w:p>
    <w:p>
      <w:r>
        <w:rPr>
          <w:rFonts w:ascii="Arial" w:hAnsi="Arial" w:eastAsia="Arial"/>
          <w:b w:val="0"/>
          <w:i w:val="0"/>
        </w:rPr>
        <w:t>Сведения в строках с пометкой «от заказчика» перенесены из обращения. Проектные предложения настоящего ТЗ обозначены отдельно и не подменяют нормативные минимумы.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Показатель</w:t>
            </w:r>
          </w:p>
        </w:tc>
        <w:tc>
          <w:tcPr>
            <w:tcW w:type="dxa" w:w="4961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Значение и источник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Назначение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Склад; от заказчика. Вид складируемой продукции, технологические и пожарные характеристики — [не представлены]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Стадия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Проектная документация; от заказчика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Характер строительства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Новое строительство — допущение, требует подтверждения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Здание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Один этаж, 36 × 72 м; от заказчика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Площадь пятна здания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2592 м²; расчёт 36 × 72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Конструктивная схема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Металлический каркас; от заказчика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Фундаменты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Столбчатые; от заказчика. Рассматриваются как предварительное проектное решение, не подтверждённое изысканиями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Парковка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40 машиномест; от заказчика. Габариты, покрытие, нагрузки, отметки и водоотвод — [не представлены]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Участок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1,2 га, или 12 000 м²; от заказчика и пересчёт 1,2 × 10 000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Регион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Ленинградская область; из сообщения заказчика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Ранее выполненная геодезия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Топосъёмка 2019 года, масштаб 1:500; от заказчика. Сам план и отчёт не представлены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Ранее выполненная геология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[сведения отсутствуют]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Уровень ответственности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[назначает проектировщик, не указан]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Категория сложности инженерно-геологических условий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[определяет исполнитель по результатам изучения территории]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Высота здания, сетка колонн, нагрузки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[не представлены]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Подвал, приямки, заглублённые сооружения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[сведения отсутствуют]; отсутствие не предполагается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Инженерные сети и точки подключения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[не представлены]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Система координат и высот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[согласовать по точному местоположению и исходным материалам]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Основание выполнения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[договор / решение заказчика, номер и дата не указаны]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Сроки работ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[не указаны]</w:t>
            </w:r>
          </w:p>
        </w:tc>
      </w:tr>
    </w:tbl>
    <w:p>
      <w:r>
        <w:rPr>
          <w:rFonts w:ascii="Arial" w:hAnsi="Arial" w:eastAsia="Arial"/>
          <w:b w:val="0"/>
          <w:i w:val="0"/>
        </w:rPr>
        <w:t>Общие требования к содержанию задания и исходным материалам: СП 47.13330.2016, пункты 4.15–4.17. До утверждения заполнить отсутствующие идентификационные сведения, установить уровень ответственности, границы работ и характеристики нагрузок.</w:t>
      </w:r>
    </w:p>
    <w:p>
      <w:r>
        <w:rPr>
          <w:rFonts w:ascii="Arial" w:hAnsi="Arial" w:eastAsia="Arial"/>
          <w:b w:val="0"/>
          <w:i w:val="0"/>
        </w:rPr>
        <w:t>В составе этого задания предусмотрены только два заказанных вида изысканий. Достаточность полного комплекса инженерных изысканий для объекта отдельно подтверждает проектировщик; отсутствие экологических и гидрометеорологических работ в настоящем ТЗ не означает отсутствия потребности в них.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2. Цели и задачи</w:t>
      </w:r>
    </w:p>
    <w:p>
      <w:r>
        <w:rPr>
          <w:rFonts w:ascii="Arial" w:hAnsi="Arial" w:eastAsia="Arial"/>
          <w:b w:val="0"/>
          <w:i w:val="0"/>
        </w:rPr>
        <w:t>Получить достоверные материалы для разработки проектной документации склада и парковки: генерального плана, вертикальной планировки и водоотвода, расчёта оснований и фундаментов, конструкции основания парковки, организации земляных работ и мер инженерной защиты.</w:t>
      </w:r>
    </w:p>
    <w:p>
      <w:r>
        <w:rPr>
          <w:rFonts w:ascii="Arial" w:hAnsi="Arial" w:eastAsia="Arial"/>
          <w:b w:val="0"/>
          <w:i w:val="0"/>
        </w:rPr>
        <w:t>Геодезические материалы должны характеризовать современную ситуацию, рельеф, существующие сооружения и инженерные коммуникации. Основание: СП 47.13330.2016, пункты 5.1.15–5.1.19.</w:t>
      </w:r>
    </w:p>
    <w:p>
      <w:r>
        <w:rPr>
          <w:rFonts w:ascii="Arial" w:hAnsi="Arial" w:eastAsia="Arial"/>
          <w:b w:val="0"/>
          <w:i w:val="0"/>
        </w:rPr>
        <w:t>Геологические материалы должны обеспечивать выделение инженерно-геологических элементов, получение характеристик грунтов и подземных вод, расчёты оснований и прогноз изменения условий при строительстве и эксплуатации. Основание: СП 446.1325800.2019, пункты 4.1, 7.2.1–7.2.3.</w:t>
      </w:r>
    </w:p>
    <w:p>
      <w:r>
        <w:rPr>
          <w:rFonts w:ascii="Arial" w:hAnsi="Arial" w:eastAsia="Arial"/>
          <w:b w:val="0"/>
          <w:i w:val="0"/>
        </w:rPr>
        <w:t>Столбчатые фундаменты не принимаются как безусловно пригодные. При выявлении слабых грунтов, опасных процессов либо неблагоприятных гидрогеологических условий исполнитель немедленно уведомляет заказчика и ГИП. Выбор или изменение типа фундамента выполняет проектировщик.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3. Нормативная основа и пределы проверки</w:t>
      </w:r>
    </w:p>
    <w:p>
      <w:r>
        <w:rPr>
          <w:rFonts w:ascii="Arial" w:hAnsi="Arial" w:eastAsia="Arial"/>
          <w:b w:val="0"/>
          <w:i w:val="0"/>
        </w:rPr>
        <w:t>Основные документы: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СП 47.13330.2016 «Инженерные изыскания для строительства. Основные положения» — содержание задания, программа, геодезические материалы и технические отчёты.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СП 317.1325800.2017 «Инженерно-геодезические изыскания для строительства. Общие правила производства работ» — производство геодезических работ; пункт 5.3.4 используется совместно с пунктом 5.1.20 СП 47.13330.2016 при оценке актуальности планов.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СП 446.1325800.2019 «Инженерно-геологические изыскания для строительства. Общие правила производства работ» — программа, полевые, лабораторные и камеральные работы.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СП 22.13330.2016 «Основания зданий и сооружений» — определение сжимаемой толщи проектировщиком; пункт 5.6.41 указан в пункте 7.2.6 СП 446.1325800.2019.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ГОСТ 25100-2020 «Грунты. Классификация» — классификация грунтов.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ГОСТ 20522-2012 «Грунты. Методы статистической обработки результатов испытаний» — статистическая обработка характеристик грунтов.</w:t>
      </w:r>
    </w:p>
    <w:p>
      <w:r>
        <w:rPr>
          <w:rFonts w:ascii="Arial" w:hAnsi="Arial" w:eastAsia="Arial"/>
          <w:b w:val="0"/>
          <w:i w:val="0"/>
        </w:rPr>
        <w:t>Пункты СП 47.13330.2016 сверены с опубликованным текстом с Изменением № 1; пункты СП 446.1325800.2019 — с доступным опубликованным текстом. Полный состав изменений и статус всех перечисленных документов на 09.10.2026 по официальному реестру не подтверждены. Перед утверждением ТЗ требуется контроль действующих редакций и применимости ссылок. Для ГОСТ конкретные пункты методик и действующие редакции подлежат сверке при составлении программы; номера пунктов по памяти не приводятся.</w:t>
      </w:r>
    </w:p>
    <w:p>
      <w:r>
        <w:rPr>
          <w:rFonts w:ascii="Arial" w:hAnsi="Arial" w:eastAsia="Arial"/>
          <w:b w:val="0"/>
          <w:i w:val="0"/>
        </w:rPr>
        <w:t>Численные предложения в разделе 6 не являются нормативно установленным объёмом для данного склада. Окончательные объёмы и методы устанавливаются и обосновываются программой, согласуемой заказчиком и утверждаемой исполнителем: СП 47.13330.2016, пункт 4.18; СП 446.1325800.2019, пункт 4.5.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4. Этапность и исходные материалы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4.1. Подготовительный этап</w:t>
      </w:r>
    </w:p>
    <w:p>
      <w:r>
        <w:rPr>
          <w:rFonts w:ascii="Arial" w:hAnsi="Arial" w:eastAsia="Arial"/>
          <w:b w:val="0"/>
          <w:i w:val="0"/>
        </w:rPr>
        <w:t>Заказчик передаёт ситуационный план с границами участка и контурами склада, парковки, проездов и сетей, кадастровые сведения, имеющийся план 2019 года и отчёт к нему, сведения о ранее выполненной геологии, проектные нагрузки, размеры и глубины фундаментов, отметки планировки и данные о существующих коммуникациях. Основание: СП 47.13330.2016, пункты 4.15–4.17.</w:t>
      </w:r>
    </w:p>
    <w:p>
      <w:r>
        <w:rPr>
          <w:rFonts w:ascii="Arial" w:hAnsi="Arial" w:eastAsia="Arial"/>
          <w:b w:val="0"/>
          <w:i w:val="0"/>
        </w:rPr>
        <w:t>Исполнитель изучает фондовые материалы, выполняет рекогносцировку и разрабатывает программу с обоснованием методов, точности, объёмов и схемы размещения выработок. Основание: СП 47.13330.2016, пункты 4.18–4.19; СП 446.1325800.2019, пункты 4.5, 7.2.2–7.2.3.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4.2. Полевой и лабораторный этапы</w:t>
      </w:r>
    </w:p>
    <w:p>
      <w:r>
        <w:rPr>
          <w:rFonts w:ascii="Arial" w:hAnsi="Arial" w:eastAsia="Arial"/>
          <w:b w:val="0"/>
          <w:i w:val="0"/>
        </w:rPr>
        <w:t>Выполнить геодезические работы и привязку геологических точек, проходку выработок, опробование, полевые испытания, гидрогеологические наблюдения и лабораторные исследования в объёмах утверждённой программы. Основание: СП 47.13330.2016, пункт 4.18; СП 446.1325800.2019, пункт 7.2.3.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4.3. Камеральный этап</w:t>
      </w:r>
    </w:p>
    <w:p>
      <w:r>
        <w:rPr>
          <w:rFonts w:ascii="Arial" w:hAnsi="Arial" w:eastAsia="Arial"/>
          <w:b w:val="0"/>
          <w:i w:val="0"/>
        </w:rPr>
        <w:t>Сформировать инженерно-топографический план и геологическую модель, обработать результаты испытаний, подготовить два технических отчёта и рекомендации для проектирования. Основание: СП 47.13330.2016, пункты 4.39, 5.1.23; СП 446.1325800.2019, пункт 5.16.</w:t>
      </w:r>
    </w:p>
    <w:p>
      <w:r>
        <w:rPr>
          <w:rFonts w:ascii="Arial" w:hAnsi="Arial" w:eastAsia="Arial"/>
          <w:b w:val="0"/>
          <w:i w:val="0"/>
        </w:rPr>
        <w:t>Для геологии целевой результат — детализация, достаточная для расчётов оснований и окончательных проектных решений по пункту 7.2.1 СП 446.1325800.2019. При отсутствии необходимых исходных данных исполнитель обосновывает последовательность первого и второго этапов изысканий для ПД. Один общий срок исполнения не означает автоматической достаточности одного этапа. Дополнительные работы для рабочей документации настоящим ТЗ отдельно не заказаны.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5. Инженерно-геодезические изыскания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5.1. Оценка топосъёмки 2019 года</w:t>
      </w:r>
    </w:p>
    <w:p>
      <w:r>
        <w:rPr>
          <w:rFonts w:ascii="Arial" w:hAnsi="Arial" w:eastAsia="Arial"/>
          <w:b w:val="0"/>
          <w:i w:val="0"/>
        </w:rPr>
        <w:t>План 2019 года не принимать как актуальную топографическую основу для проектной документации без обновления. На дату подготовки задания прошло около семи календарных лет; точная дата съёмки не представлена. По пункту 5.1.20 СП 47.13330.2016 в проверенном тексте срок давности инженерно-топографического плана составляет не более двух лет при подтверждении актуальности информации.</w:t>
      </w:r>
    </w:p>
    <w:p>
      <w:r>
        <w:rPr>
          <w:rFonts w:ascii="Arial" w:hAnsi="Arial" w:eastAsia="Arial"/>
          <w:b w:val="0"/>
          <w:i w:val="0"/>
        </w:rPr>
        <w:t>Исполнитель проверяет исходный план, систему координат и высот, геодезическое обоснование, полноту подземных коммуникаций, изменения ситуации и рельефа. При пригодности исходной основы выполнить обновление; при изменениях ситуации и рельефа более 35% выполнить топографическую съёмку заново. Основание: СП 47.13330.2016, пункт 5.1.20. Сам факт возраста плана не служит основанием объявить изменения более 35% без обследования.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5.2. Территория, масштаб и рельеф</w:t>
      </w:r>
    </w:p>
    <w:p>
      <w:r>
        <w:rPr>
          <w:rFonts w:ascii="Arial" w:hAnsi="Arial" w:eastAsia="Arial"/>
          <w:b w:val="0"/>
          <w:i w:val="0"/>
        </w:rPr>
        <w:t>Проектное требование заказчика: инженерно-топографический план в масштабе 1:500 на весь участок 1,2 га. Включить размещение склада, парковки, проездов и водоотвода. Прилегающие территории, внешние сети и точки подключения включить после согласования границ; их площадь не входит автоматически в 1,2 га.</w:t>
      </w:r>
    </w:p>
    <w:p>
      <w:r>
        <w:rPr>
          <w:rFonts w:ascii="Arial" w:hAnsi="Arial" w:eastAsia="Arial"/>
          <w:b w:val="0"/>
          <w:i w:val="0"/>
        </w:rPr>
        <w:t>Проектное предложение для согласования: основное сечение рельефа 0,5 м. Окончательно установить его в программе с учётом характера рельефа и задач вертикальной планировки. Выбор масштаба и содержания плана: СП 47.13330.2016, пункты 5.1.15–5.1.16. Значения 1:500 и 0,5 м в этом ТЗ — параметры задания, а не универсальная норма для всех складов.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5.3. Состав работ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Сбор и анализ исходной геодезической информации, обследование исходных пунктов, обоснование планово-высотной сети и методов съёмки в программе — СП 47.13330.2016, пункты 4.18–4.19.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Съёмка либо обновление ситуации и рельефа, существующей застройки, ограждений, покрытий, водоотводных сооружений и коммуникаций — СП 47.13330.2016, пункты 5.1.16, 5.1.20.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Обследование доступных элементов инженерных сетей и получение сведений об их подземных участках; неопределённые положения и характеристики обозначать как неустановленные, не достраивать — СП 47.13330.2016, пункты 5.1.16, 5.1.18.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Планово-высотная привязка фактически выполненных скважин и точек испытаний: проектное требование к согласованной геодезической и геологической модели; методы и точность обосновать в программе по пункту 4.18 СП 47.13330.2016.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Полевой и камеральный контроль, устранение недопустимых расхождений, оформление актов — СП 47.13330.2016, пункты 5.1.21–5.1.22.</w:t>
      </w:r>
    </w:p>
    <w:p>
      <w:r>
        <w:rPr>
          <w:rFonts w:ascii="Arial" w:hAnsi="Arial" w:eastAsia="Arial"/>
          <w:b w:val="0"/>
          <w:i w:val="0"/>
        </w:rPr>
        <w:t>Принять точность планового положения объектов, подземных коммуникаций и отображения рельефа по пунктам 5.1.17–5.1.19 СП 47.13330.2016 с учётом условий территории. Конкретные допуски и контрольные измерения привести в программе; не заменять их единым произвольно установленным допуском.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5.4. Координаты и высоты</w:t>
      </w:r>
    </w:p>
    <w:p>
      <w:r>
        <w:rPr>
          <w:rFonts w:ascii="Arial" w:hAnsi="Arial" w:eastAsia="Arial"/>
          <w:b w:val="0"/>
          <w:i w:val="0"/>
        </w:rPr>
        <w:t>Систему координат установить по точному местоположению участка, исходным материалам и требованиям получателя результатов. Зону МСК-47 без адреса, кадастрового номера или исходных координат не назначать. Систему высот согласовать отдельно; пересчёты документировать. В отчёте указать обе системы: СП 47.13330.2016, пункт 5.1.23.1.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6. Инженерно-геологические изыскания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6.1. Исследуемые условия</w:t>
      </w:r>
    </w:p>
    <w:p>
      <w:r>
        <w:rPr>
          <w:rFonts w:ascii="Arial" w:hAnsi="Arial" w:eastAsia="Arial"/>
          <w:b w:val="0"/>
          <w:i w:val="0"/>
        </w:rPr>
        <w:t>Изучить геологическое строение и изменчивость разреза, мощность насыпных и органических грунтов при их наличии, состав, состояние и физико-механические свойства грунтов, подземные воды, опасные процессы и изменение условий при застройке. Наличие торфа, слабых грунтов, карста либо подтопления на данном участке заранее не утверждается. Основание: СП 446.1325800.2019, пункты 4.1, 7.2.1–7.2.3.</w:t>
      </w:r>
    </w:p>
    <w:p>
      <w:r>
        <w:rPr>
          <w:rFonts w:ascii="Arial" w:hAnsi="Arial" w:eastAsia="Arial"/>
          <w:b w:val="0"/>
          <w:i w:val="0"/>
        </w:rPr>
        <w:t>Обследовать не только пятно склада, но и парковку, проезды и участки планируемых земляных работ. Положение парковки и её площадь установить по генплану; 40 машиномест не позволяют определить её границы и объём исследований без компоновки.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6.2. Предварительная схема и объёмы — на согласование</w:t>
      </w:r>
    </w:p>
    <w:p>
      <w:r>
        <w:rPr>
          <w:rFonts w:ascii="Arial" w:hAnsi="Arial" w:eastAsia="Arial"/>
          <w:b w:val="0"/>
          <w:i w:val="0"/>
        </w:rPr>
        <w:t>Ниже приведён стартовый вариант для подготовки программы, а не утверждённый объём работ. Он не подтверждает достаточность при неизвестных нагрузках и сложности условий.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c>
          <w:tcPr>
            <w:tcW w:type="dxa" w:w="3307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Работа</w:t>
            </w:r>
          </w:p>
        </w:tc>
        <w:tc>
          <w:tcPr>
            <w:tcW w:type="dxa" w:w="3307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Предварительное предложение</w:t>
            </w:r>
          </w:p>
        </w:tc>
        <w:tc>
          <w:tcPr>
            <w:tcW w:type="dxa" w:w="3307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Основание и условие уточнения</w:t>
            </w:r>
          </w:p>
        </w:tc>
      </w:tr>
      <w:tr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Скважины под склад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6 точек: по двум продольным линиям, с точками у торцов и в середине длины; совместить с контурами/осями после получения генплана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Проектное предложение. Размещение — СП 446.1325800.2019, п. 7.2.4; интервалы и количество — п. 7.2.5, таблица 7.3</w:t>
            </w:r>
          </w:p>
        </w:tc>
      </w:tr>
      <w:tr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Скважины в зоне парковки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Предварительно 2 дополнительные точки; расположение и необходимость увеличения — по фактической компоновке и условиям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Проектное предложение, не нормативный минимум; СП 446.1325800.2019, п. 7.2.2–7.2.4</w:t>
            </w:r>
          </w:p>
        </w:tc>
      </w:tr>
      <w:tr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Глубина под склад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Численная глубина не назначена: нагрузки, глубина и размеры фундаментов, сжимаемая толща неизвестны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СП 446.1325800.2019, п. 7.2.6: не менее суммы глубины фундамента, глубины сжимаемой толщи и 2 м</w:t>
            </w:r>
          </w:p>
        </w:tc>
      </w:tr>
      <w:tr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Глубина под парковку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[обосновать в программе] по земляным работам, нагрузкам покрытия, мощности насыпных и слабых грунтов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СП 446.1325800.2019, п. 4.5, 7.2.2</w:t>
            </w:r>
          </w:p>
        </w:tc>
      </w:tr>
      <w:tr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Статическое зондирование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Предварительно 3 точки в зоне склада; возможность, глубину и окончательное число подтвердить по составу грунтов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Проектное предложение; выбор полевых методов — СП 446.1325800.2019, п. 5.8; состав — п. 7.2.3</w:t>
            </w:r>
          </w:p>
        </w:tc>
      </w:tr>
      <w:tr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Отбор проб грунта и монолитов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 всем выделяемым слоям и ИГЭ; количество обосновать программой и статистической обеспеченностью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СП 446.1325800.2019, п. 5.10, 7.2.2–7.2.3; ГОСТ 20522-2012, конкретные пункты сверить</w:t>
            </w:r>
          </w:p>
        </w:tc>
      </w:tr>
      <w:tr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Пробы подземной воды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 выявленным водоносным горизонтам; количество обосновать при их обнаружении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СП 446.1325800.2019, п. 5.9, 5.10.3</w:t>
            </w:r>
          </w:p>
        </w:tc>
      </w:tr>
    </w:tbl>
    <w:p>
      <w:r>
        <w:rPr>
          <w:rFonts w:ascii="Arial" w:hAnsi="Arial" w:eastAsia="Arial"/>
          <w:b w:val="0"/>
          <w:i w:val="0"/>
        </w:rPr>
        <w:t>Для здания нормального уровня ответственности проверенный пункт 7.2.5 СП 446.1325800.2019 предусматривает не менее трёх скважин в контуре, но это нижнее ограничение, а не доказательство достаточности трёх скважин для этого объекта. Таблица 7.3 устанавливает интервалы по категории сложности и уровню ответственности; при неоднородности и опасных процессах сеть может потребовать сгущения. Предложенная схема из шести точек под склад должна быть проверена по этой таблице после установления категории и уровня ответственности.</w:t>
      </w:r>
    </w:p>
    <w:p>
      <w:r>
        <w:rPr>
          <w:rFonts w:ascii="Arial" w:hAnsi="Arial" w:eastAsia="Arial"/>
          <w:b w:val="0"/>
          <w:i w:val="0"/>
        </w:rPr>
        <w:t>Глубину сжимаемой толщи передаёт проектировщик по пункту 7.2.6 СП 446.1325800.2019. При слабых или специфических грунтах и опасных процессах уточнить глубину по пунктам 7.1.10, 7.2.8 того же СП. Нельзя ограничивать бурение произвольными 10 м и считать этого заведомо достаточно для расчётов фундаментов.</w:t>
      </w:r>
    </w:p>
    <w:p>
      <w:r>
        <w:rPr>
          <w:rFonts w:ascii="Arial" w:hAnsi="Arial" w:eastAsia="Arial"/>
          <w:b w:val="0"/>
          <w:i w:val="0"/>
        </w:rPr>
        <w:t>Суммарный метраж бурения и число лабораторных определений в данном проекте ТЗ не вычисляются из-за отсутствия обоснованных глубин и разреза. Они подлежат утверждению в программе до выполнения соответствующих работ.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6.3. Полевые исследования и опробование</w:t>
      </w:r>
    </w:p>
    <w:p>
      <w:r>
        <w:rPr>
          <w:rFonts w:ascii="Arial" w:hAnsi="Arial" w:eastAsia="Arial"/>
          <w:b w:val="0"/>
          <w:i w:val="0"/>
        </w:rPr>
        <w:t>Проходку скважин выполнять с послойным описанием, фиксацией границ слоёв, состояния и состава грунтов, отбором проб нарушенной структуры и монолитов пригодного качества. Методы бурения и отбора обосновать в программе. Основание: СП 446.1325800.2019, пункты 5.6, 7.2.3.</w:t>
      </w:r>
    </w:p>
    <w:p>
      <w:r>
        <w:rPr>
          <w:rFonts w:ascii="Arial" w:hAnsi="Arial" w:eastAsia="Arial"/>
          <w:b w:val="0"/>
          <w:i w:val="0"/>
        </w:rPr>
        <w:t>Полевые испытания назначать по виду грунтов, необходимости оценки неоднородности и получения расчётных характеристик. Статическое зондирование не подменяет автоматически бурение и лабораторные испытания. При необходимости прямых полевых определений прочности и деформируемости обосновать соответствующие методы и дополнительные объёмы. Основание: СП 446.1325800.2019, пункт 5.8.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6.4. Лабораторные исследования</w:t>
      </w:r>
    </w:p>
    <w:p>
      <w:r>
        <w:rPr>
          <w:rFonts w:ascii="Arial" w:hAnsi="Arial" w:eastAsia="Arial"/>
          <w:b w:val="0"/>
          <w:i w:val="0"/>
        </w:rPr>
        <w:t>Состав назначить по фактически вскрытым грунтам, задачам расчёта и прогнозируемому изменению условий. Основание: СП 446.1325800.2019, пункты 5.10–5.10.1, приложение Л.</w:t>
      </w:r>
    </w:p>
    <w:p>
      <w:r>
        <w:rPr>
          <w:rFonts w:ascii="Arial" w:hAnsi="Arial" w:eastAsia="Arial"/>
          <w:b w:val="0"/>
          <w:i w:val="0"/>
        </w:rPr>
        <w:t>Предусмотреть определения, необходимые для классификации и расчётов: гранулометрический состав; влажность и плотность; показатели пластичности и состояния глинистых грунтов; содержание органических веществ при наличии соответствующих грунтов; прочностные и деформационные характеристики в диапазоне проектных нагрузок; дополнительные показатели пучинистости, просадочности, набухания и фильтрации — при наличии оснований для их определения.</w:t>
      </w:r>
    </w:p>
    <w:p>
      <w:r>
        <w:rPr>
          <w:rFonts w:ascii="Arial" w:hAnsi="Arial" w:eastAsia="Arial"/>
          <w:b w:val="0"/>
          <w:i w:val="0"/>
        </w:rPr>
        <w:t>Классифицировать грунты по ГОСТ 25100-2020. Нормативные и расчётные значения обрабатывать по ГОСТ 20522-2012 с выделением ИГЭ, показом исходных частных значений и оценкой обеспеченности. Конкретные пункты и методические ГОСТ испытаний сверить и перечислить в программе; не назначать одинаковое число проб для всех грунтов без обоснования.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6.5. Подземные воды и агрессивность</w:t>
      </w:r>
    </w:p>
    <w:p>
      <w:r>
        <w:rPr>
          <w:rFonts w:ascii="Arial" w:hAnsi="Arial" w:eastAsia="Arial"/>
          <w:b w:val="0"/>
          <w:i w:val="0"/>
        </w:rPr>
        <w:t>Фиксировать появление и установившийся уровень воды, даты и условия наблюдений, водоносные горизонты, возможную верховодку и взаимосвязь с поверхностным стоком. Выполнить прогноз изменений при планировке участка и устройстве покрытий. Основание: СП 446.1325800.2019, пункт 5.9.</w:t>
      </w:r>
    </w:p>
    <w:p>
      <w:r>
        <w:rPr>
          <w:rFonts w:ascii="Arial" w:hAnsi="Arial" w:eastAsia="Arial"/>
          <w:b w:val="0"/>
          <w:i w:val="0"/>
        </w:rPr>
        <w:t>Разовый замер не выдавать за максимальный сезонный уровень. При недостаточности наблюдений отдельно указать ограничения прогноза и необходимые дополнительные наблюдения — в программе по пункту 4.5 СП 446.1325800.2019.</w:t>
      </w:r>
    </w:p>
    <w:p>
      <w:r>
        <w:rPr>
          <w:rFonts w:ascii="Arial" w:hAnsi="Arial" w:eastAsia="Arial"/>
          <w:b w:val="0"/>
          <w:i w:val="0"/>
        </w:rPr>
        <w:t>При обнаружении подземных вод исследовать химический состав и оценить агрессивное воздействие на материалы проектируемых конструкций; для грунтов при необходимости исследовать водные вытяжки и коррозионные свойства. Основание: СП 446.1325800.2019, пункт 5.10.3. Материалы конструкций и условия их контакта с грунтом и водой уточнить у проектировщика.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6.6. Результат для проектировщика</w:t>
      </w:r>
    </w:p>
    <w:p>
      <w:r>
        <w:rPr>
          <w:rFonts w:ascii="Arial" w:hAnsi="Arial" w:eastAsia="Arial"/>
          <w:b w:val="0"/>
          <w:i w:val="0"/>
        </w:rPr>
        <w:t>Представить инженерно-геологические разрезы и колонки, положение ИГЭ, нормативные и расчётные характеристики грунтов, уровни и свойства подземных вод, прогноз условий и рекомендации по подготовке оснований, земляным работам, водоотводу и инженерной защите. Основание: СП 446.1325800.2019, пункты 7.2.1–7.2.2; СП 47.13330.2016, пункт 4.39.</w:t>
      </w:r>
    </w:p>
    <w:p>
      <w:r>
        <w:rPr>
          <w:rFonts w:ascii="Arial" w:hAnsi="Arial" w:eastAsia="Arial"/>
          <w:b w:val="0"/>
          <w:i w:val="0"/>
        </w:rPr>
        <w:t>Отдельно оценить возможность использования предварительно принятого естественного основания под столбчатые фундаменты. Не подменять расчёт проектировщика единственным значением «допускаемого давления» без характеристик и условий применимости.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7. Срочное уведомление о критичных результатах</w:t>
      </w:r>
    </w:p>
    <w:p>
      <w:r>
        <w:rPr>
          <w:rFonts w:ascii="Arial" w:hAnsi="Arial" w:eastAsia="Arial"/>
          <w:b w:val="0"/>
          <w:i w:val="0"/>
        </w:rPr>
        <w:t>Проектное условие взаимодействия: до выдачи итогового отчёта оперативно сообщать заказчику и ГИП о слабых, органических или существенно неоднородных грунтах в сфере влияния фундаментов; опасных геологических процессах; высоком уровне либо агрессивности подземных вод; данных, требующих изменения принятого типа фундаментов или отметок участка.</w:t>
      </w:r>
    </w:p>
    <w:p>
      <w:r>
        <w:rPr>
          <w:rFonts w:ascii="Arial" w:hAnsi="Arial" w:eastAsia="Arial"/>
          <w:b w:val="0"/>
          <w:i w:val="0"/>
        </w:rPr>
        <w:t>Передавать фактические материалы, предварительную оценку влияния и предложение по дополнительным исследованиям. Решения по фундаментам и инженерной защите принимает профильный проектировщик. Основание для уточнения исследования: СП 47.13330.2016, пункт 4.18; СП 446.1325800.2019, пункты 7.2.1–7.2.2, 7.2.8.</w:t>
      </w:r>
    </w:p>
    <w:p>
      <w:r>
        <w:rPr>
          <w:rFonts w:ascii="Arial" w:hAnsi="Arial" w:eastAsia="Arial"/>
          <w:b w:val="0"/>
          <w:i w:val="0"/>
        </w:rPr>
        <w:t>Если выявленные условия меняют объёмы и сроки, оформить согласованное дополнение к заданию и программе, а не выполнять необоснованное сокращение работ. Основание: СП 47.13330.2016, пункт 4.14.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8. Отчётные материалы и формат выдачи</w:t>
      </w:r>
    </w:p>
    <w:p>
      <w:r>
        <w:rPr>
          <w:rFonts w:ascii="Arial" w:hAnsi="Arial" w:eastAsia="Arial"/>
          <w:b w:val="0"/>
          <w:i w:val="0"/>
        </w:rPr>
        <w:t>Представить отдельные технические отчёты по геодезическим и геологическим изысканиям с исходными данными, методами, фактическими объёмами, результатами, ограничениями и выводами. Общая структура: СП 47.13330.2016, пункт 4.39; геодезический отчёт — пункт 5.1.23; камеральная обработка геологии — СП 446.1325800.2019, пункт 5.16.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Геодезический комплект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Текстовый отчёт с системами координат и высот, оценкой плана 2019 года, обоснованием обновления либо новой съёмки, описанием исходного обоснования, методов и контроля.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Инженерно-топографический план 1:500, сведения о коммуникациях и ограничениях полноты их отображения.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Каталоги координат и отметок опорных и привязанных геологических точек.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Акты контроля и приёмки полевых и камеральных работ по пунктам 5.1.21–5.1.22 СП 47.13330.2016.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Геологический комплект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Текстовый отчёт с описанием условий и их прогнозом, характеристиками ИГЭ, гидрогеологией, агрессивностью воды и ограничениями выводов.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План фактических выработок и испытаний с координатами и отметками, колонки, разрезы.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Ведомости опробования, протоколы лабораторных и полевых испытаний, таблицы частных, нормативных и расчётных характеристик с обработкой.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Перечень критичных условий и рекомендаций для проектировщика склада и парковки.</w:t>
      </w:r>
    </w:p>
    <w:p>
      <w:r>
        <w:rPr>
          <w:rFonts w:ascii="Arial" w:hAnsi="Arial" w:eastAsia="Arial"/>
          <w:b w:val="0"/>
          <w:i w:val="0"/>
        </w:rPr>
        <w:t>Проектные требования заказчика к электронной выдаче: подписанные отчёты PDF; редактируемая текстовая часть DOCX; графика DWG/DXF и PDF; таблицы исходных и обработанных данных XLSX. Форматы являются условиями данного задания, а не универсальным нормативным перечнем. Число бумажных экземпляров — [согласовать]. Передача сторонним организациям и в экспертизу — только после одобрения заказчика.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9. Проверка и приёмка</w:t>
      </w:r>
    </w:p>
    <w:p>
      <w:r>
        <w:rPr>
          <w:rFonts w:ascii="Arial" w:hAnsi="Arial" w:eastAsia="Arial"/>
          <w:b w:val="0"/>
          <w:i w:val="0"/>
        </w:rPr>
        <w:t>Проверить соответствие фактических работ утверждённой программе; полноту покрытия участка и зон проектируемых сооружений; актуальность топографической основы; соблюдение точности; согласованность координат и отметок; достаточность изученной толщи; обеспеченность расчётных характеристик; полноту данных по подземным водам и агрессивности. Основание: СП 47.13330.2016, пункты 4.18, 4.39, 5.1.20–5.1.23; СП 446.1325800.2019, пункты 5.10, 7.2.2, 7.2.6.</w:t>
      </w:r>
    </w:p>
    <w:p>
      <w:r>
        <w:rPr>
          <w:rFonts w:ascii="Arial" w:hAnsi="Arial" w:eastAsia="Arial"/>
          <w:b w:val="0"/>
          <w:i w:val="0"/>
        </w:rPr>
        <w:t>Проектное условие приёмки: представить таблицу «пункт ТЗ — выполненные работы и материал отчёта — соответствует / не соответствует / данных нет — необходимые действия». Отсутствующие данные не считать подтверждением благоприятных условий.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10. Что согласовать перед утверждением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1. </w:t>
      </w:r>
      <w:r>
        <w:rPr>
          <w:rFonts w:ascii="Arial" w:hAnsi="Arial" w:eastAsia="Arial"/>
          <w:b w:val="0"/>
          <w:i w:val="0"/>
          <w:sz w:val="20"/>
        </w:rPr>
        <w:t>Адрес / кадастровый номер, границы и ситуационную схему участка.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2. </w:t>
      </w:r>
      <w:r>
        <w:rPr>
          <w:rFonts w:ascii="Arial" w:hAnsi="Arial" w:eastAsia="Arial"/>
          <w:b w:val="0"/>
          <w:i w:val="0"/>
          <w:sz w:val="20"/>
        </w:rPr>
        <w:t>Заказчика, проектировщика, исполнителя, основание работ и сроки.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3. </w:t>
      </w:r>
      <w:r>
        <w:rPr>
          <w:rFonts w:ascii="Arial" w:hAnsi="Arial" w:eastAsia="Arial"/>
          <w:b w:val="0"/>
          <w:i w:val="0"/>
          <w:sz w:val="20"/>
        </w:rPr>
        <w:t>Уровень ответственности и идентификационные характеристики склада, назначение хранения и технологические нагрузки.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4. </w:t>
      </w:r>
      <w:r>
        <w:rPr>
          <w:rFonts w:ascii="Arial" w:hAnsi="Arial" w:eastAsia="Arial"/>
          <w:b w:val="0"/>
          <w:i w:val="0"/>
          <w:sz w:val="20"/>
        </w:rPr>
        <w:t>Генплан с посадкой здания, парковкой, проездами, сетями и планируемыми отметками.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5. </w:t>
      </w:r>
      <w:r>
        <w:rPr>
          <w:rFonts w:ascii="Arial" w:hAnsi="Arial" w:eastAsia="Arial"/>
          <w:b w:val="0"/>
          <w:i w:val="0"/>
          <w:sz w:val="20"/>
        </w:rPr>
        <w:t>Сетку колонн, нагрузки на фундаменты и полы, размеры и глубину фундаментов, глубину сжимаемой толщи; данные о приямках и подземных сооружениях.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6. </w:t>
      </w:r>
      <w:r>
        <w:rPr>
          <w:rFonts w:ascii="Arial" w:hAnsi="Arial" w:eastAsia="Arial"/>
          <w:b w:val="0"/>
          <w:i w:val="0"/>
          <w:sz w:val="20"/>
        </w:rPr>
        <w:t>Системы координат и высот, сечение рельефа и охват прилегающих территорий.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7. </w:t>
      </w:r>
      <w:r>
        <w:rPr>
          <w:rFonts w:ascii="Arial" w:hAnsi="Arial" w:eastAsia="Arial"/>
          <w:b w:val="0"/>
          <w:i w:val="0"/>
          <w:sz w:val="20"/>
        </w:rPr>
        <w:t>Программу с окончательным числом, размещением и глубинами выработок, испытаниями и лабораторными определениями.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8. </w:t>
      </w:r>
      <w:r>
        <w:rPr>
          <w:rFonts w:ascii="Arial" w:hAnsi="Arial" w:eastAsia="Arial"/>
          <w:b w:val="0"/>
          <w:i w:val="0"/>
          <w:sz w:val="20"/>
        </w:rPr>
        <w:t>Действующие редакции нормативных документов и ссылки на методики.</w:t>
      </w:r>
    </w:p>
    <w:p>
      <w:r>
        <w:rPr>
          <w:rFonts w:ascii="Arial" w:hAnsi="Arial" w:eastAsia="Arial"/>
          <w:b w:val="0"/>
          <w:i w:val="0"/>
        </w:rPr>
        <w:t>До выполнения этих действий документ остаётся проектом ТЗ. Неизвестные исходные сведения и геологические условия не достроены предположениями.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Приложение. Источники нормативной проверки</w:t>
      </w:r>
    </w:p>
    <w:p>
      <w:r>
        <w:rPr>
          <w:rFonts w:ascii="Arial" w:hAnsi="Arial" w:eastAsia="Arial"/>
          <w:b w:val="0"/>
          <w:i w:val="0"/>
        </w:rPr>
        <w:t>Дата обращения: 09.10.2026. Ссылки приводятся для проверки текста; опубликованная копия не заменяет официальный контроль актуальности редакции.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СП 47.13330.2016, опубликованный текст с Изменением № 1: https://mchs.gov.ru/uploads/document/2022-03-16/74b398274eb8bb08b59005e5d3d40171.pdf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СП 446.1325800.2019, опубликованный текст: https://files.stroyinf.ru/Data2/1/4293728/4293728630.pdf</w:t>
      </w:r>
    </w:p>
    <w:p>
      <w:r>
        <w:rPr>
          <w:rFonts w:ascii="Arial" w:hAnsi="Arial" w:eastAsia="Arial"/>
          <w:b w:val="0"/>
          <w:i w:val="0"/>
        </w:rPr>
        <w:t>Первый источник использован для сверки содержания задания, программы, актуальности топоплана, контроля и отчётности. Второй — для сверки состава геологических работ, размещения и глубины скважин, лабораторных и гидрогеологических исследований. Окончательное утверждение — после контрольной проверки актуальных редакций.</w:t>
      </w:r>
    </w:p>
    <w:sectPr w:rsidR="00FC693F" w:rsidRPr="0006063C" w:rsidSect="00034616">
      <w:footerReference w:type="default" r:id="rId9"/>
      <w:pgSz w:w="11906" w:h="16838"/>
      <w:pgMar w:top="879" w:right="992" w:bottom="794" w:left="99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color w:val="5E6B78"/>
        <w:sz w:val="17"/>
      </w:rPr>
      <w:t xml:space="preserve">Страница </w:t>
    </w:r>
    <w:r>
      <w:rPr>
        <w:rFonts w:ascii="Arial" w:hAnsi="Arial" w:eastAsia="Arial"/>
        <w:color w:val="5E6B78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 w:eastAsia="Arial"/>
      <w:color w:val="243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F80E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инженерные изыскания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